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BVGE 2010/11 vom 18. Februar 2010</w:t>
      </w:r>
    </w:p>
    <w:p>
      <w:r>
        <w:t>Bundesverwaltungsgericht, 2010-02-18, DE</w:t>
      </w:r>
    </w:p>
    <w:p>
      <w:r>
        <w:rPr>
          <w:b/>
        </w:rPr>
        <w:t xml:space="preserve">Quelle: </w:t>
      </w:r>
      <w:r>
        <w:t>https://mcp.opencaselaw.ch/entscheid/bvger_BVGE 2010_11</w:t>
      </w:r>
    </w:p>
    <w:p>
      <w:r>
        <w:t>FR: TAF BVGE 2010/11 du 18 février 2010</w:t>
      </w:r>
    </w:p>
    <w:p>
      <w:r>
        <w:t>IT: TAF BVGE 2010/11 del 18 febbraio 2010</w:t>
      </w:r>
    </w:p>
    <w:p>
      <w:pPr>
        <w:pStyle w:val="Heading2"/>
      </w:pPr>
      <w:r>
        <w:t>Regeste</w:t>
      </w:r>
    </w:p>
    <w:p>
      <w:r>
        <w:t>Höhere Fachprüfung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Beschwerdeverfahren gegen den Prüfungsbescheid ist grundsätzlich die Prüfungsarbeit einzuholen. Falls deren Inhalt ausnahmsweise umfassend und nachvollziehbar erstellt ist, kann darauf verzichtet werden (E. 3.2).</w:t>
      </w:r>
    </w:p>
    <w:p>
      <w:r>
        <w:rPr>
          <w:b/>
        </w:rPr>
        <w:t>E. 2</w:t>
      </w:r>
    </w:p>
    <w:p>
      <w:r>
        <w:t>Erscheint die Prüfungskorrektur im Beschwerdeverfahren weder offensichtlich fehlerhaft noch völlig unangemessen, ist auf die Meinung der Experten abzustellen (E. 4.2).</w:t>
      </w:r>
    </w:p>
    <w:p>
      <w:r>
        <w:rPr>
          <w:b/>
        </w:rPr>
        <w:t>E. 3</w:t>
      </w:r>
    </w:p>
    <w:p>
      <w:r>
        <w:t>Exigences quant à la motivation du grief d'inopportunité des résultats d'examens (consid. 4.3). Regesto in italiano Formazione professionale. Esame professionale superiore. Art. 49 lett. b PA.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